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line="268" w:lineRule="exact" w:before="56"/>
        <w:ind w:left="7799"/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342900</wp:posOffset>
            </wp:positionH>
            <wp:positionV relativeFrom="paragraph">
              <wp:posOffset>-128350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screenings,</w:t>
      </w:r>
      <w:r>
        <w:rPr>
          <w:spacing w:val="-4"/>
        </w:rPr>
        <w:t> </w:t>
      </w:r>
      <w:r>
        <w:rPr/>
        <w:t>addiction</w:t>
      </w:r>
      <w:r>
        <w:rPr>
          <w:spacing w:val="-4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job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placement,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BodyText"/>
        <w:spacing w:line="268" w:lineRule="exact"/>
        <w:ind w:left="7799"/>
      </w:pPr>
      <w:r>
        <w:rPr>
          <w:spacing w:val="-2"/>
        </w:rPr>
        <w:t>education.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520" w:bottom="280" w:left="720" w:right="580"/>
        </w:sectPr>
      </w:pPr>
    </w:p>
    <w:p>
      <w:pPr>
        <w:pStyle w:val="BodyText"/>
        <w:rPr>
          <w:sz w:val="18"/>
        </w:rPr>
      </w:pPr>
    </w:p>
    <w:p>
      <w:pPr>
        <w:spacing w:before="119"/>
        <w:ind w:left="661" w:right="0" w:firstLine="0"/>
        <w:jc w:val="left"/>
        <w:rPr>
          <w:sz w:val="18"/>
        </w:rPr>
      </w:pPr>
      <w:r>
        <w:rPr>
          <w:sz w:val="18"/>
        </w:rPr>
        <w:t>September</w:t>
      </w:r>
      <w:r>
        <w:rPr>
          <w:spacing w:val="-3"/>
          <w:sz w:val="18"/>
        </w:rPr>
        <w:t> </w:t>
      </w:r>
      <w:r>
        <w:rPr>
          <w:sz w:val="18"/>
        </w:rPr>
        <w:t>17,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Title"/>
        <w:spacing w:before="1"/>
      </w:pPr>
      <w:r>
        <w:rPr/>
        <w:t>Old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Reformed</w:t>
      </w:r>
      <w:r>
        <w:rPr>
          <w:spacing w:val="-3"/>
        </w:rPr>
        <w:t> </w:t>
      </w:r>
      <w:r>
        <w:rPr>
          <w:spacing w:val="-5"/>
        </w:rPr>
        <w:t>UCC</w:t>
      </w:r>
    </w:p>
    <w:p>
      <w:pPr>
        <w:pStyle w:val="Title"/>
        <w:ind w:right="1423"/>
      </w:pPr>
      <w:r>
        <w:rPr/>
        <w:t>Opening</w:t>
      </w:r>
      <w:r>
        <w:rPr>
          <w:spacing w:val="-7"/>
        </w:rPr>
        <w:t> </w:t>
      </w:r>
      <w:r>
        <w:rPr/>
        <w:t>Permanent</w:t>
      </w:r>
      <w:r>
        <w:rPr>
          <w:spacing w:val="-6"/>
        </w:rPr>
        <w:t> </w:t>
      </w:r>
      <w:r>
        <w:rPr>
          <w:spacing w:val="-2"/>
        </w:rPr>
        <w:t>Housing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pStyle w:val="BodyText"/>
        <w:ind w:left="115"/>
      </w:pPr>
      <w:r>
        <w:rPr/>
        <w:t>Old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House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offer</w:t>
      </w:r>
      <w:r>
        <w:rPr>
          <w:spacing w:val="-5"/>
        </w:rPr>
        <w:t> </w:t>
      </w:r>
      <w:r>
        <w:rPr/>
        <w:t>thirty-four</w:t>
      </w:r>
      <w:r>
        <w:rPr>
          <w:spacing w:val="-5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supportive</w:t>
      </w:r>
      <w:r>
        <w:rPr>
          <w:spacing w:val="-5"/>
        </w:rPr>
        <w:t> </w:t>
      </w:r>
      <w:r>
        <w:rPr/>
        <w:t>homes</w:t>
      </w:r>
      <w:r>
        <w:rPr>
          <w:spacing w:val="-5"/>
        </w:rPr>
        <w:t> </w:t>
      </w:r>
      <w:r>
        <w:rPr/>
        <w:t>for formerly homeless individuals. The development is a collaboration</w:t>
      </w:r>
    </w:p>
    <w:p>
      <w:pPr>
        <w:spacing w:before="1"/>
        <w:ind w:left="115" w:right="0" w:firstLine="0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6"/>
          <w:sz w:val="22"/>
        </w:rPr>
        <w:t> </w:t>
      </w:r>
      <w:r>
        <w:rPr>
          <w:sz w:val="22"/>
        </w:rPr>
        <w:t>Ventures,</w:t>
      </w:r>
      <w:r>
        <w:rPr>
          <w:spacing w:val="-4"/>
          <w:sz w:val="22"/>
        </w:rPr>
        <w:t> </w:t>
      </w:r>
      <w:r>
        <w:rPr>
          <w:sz w:val="22"/>
        </w:rPr>
        <w:t>Depaul</w:t>
      </w:r>
      <w:r>
        <w:rPr>
          <w:spacing w:val="-6"/>
          <w:sz w:val="22"/>
        </w:rPr>
        <w:t> </w:t>
      </w:r>
      <w:r>
        <w:rPr>
          <w:sz w:val="22"/>
        </w:rPr>
        <w:t>USA,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Old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Reformed United Church of Christ</w:t>
      </w:r>
      <w:r>
        <w:rPr>
          <w:sz w:val="22"/>
        </w:rPr>
        <w:t>. Former RHLS Director of Community and</w:t>
      </w:r>
    </w:p>
    <w:p>
      <w:pPr>
        <w:pStyle w:val="BodyText"/>
        <w:ind w:left="115" w:right="566"/>
        <w:jc w:val="both"/>
      </w:pPr>
      <w:r>
        <w:rPr/>
        <w:t>Economic</w:t>
      </w:r>
      <w:r>
        <w:rPr>
          <w:spacing w:val="-1"/>
        </w:rPr>
        <w:t> </w:t>
      </w:r>
      <w:r>
        <w:rPr/>
        <w:t>Development, Laura Schwartz, and Staff</w:t>
      </w:r>
      <w:r>
        <w:rPr>
          <w:spacing w:val="-2"/>
        </w:rPr>
        <w:t> </w:t>
      </w:r>
      <w:r>
        <w:rPr/>
        <w:t>Attorney Justin Hollinger</w:t>
      </w:r>
      <w:r>
        <w:rPr>
          <w:spacing w:val="-8"/>
        </w:rPr>
        <w:t> </w:t>
      </w:r>
      <w:r>
        <w:rPr/>
        <w:t>represented</w:t>
      </w:r>
      <w:r>
        <w:rPr>
          <w:spacing w:val="-9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Ventures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predevelopment through the project’s financial closing.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" w:right="91"/>
        <w:jc w:val="both"/>
      </w:pPr>
      <w:r>
        <w:rPr/>
        <w:t>The Church, founded in 1727, donated a portion of its property historic Old City campus</w:t>
      </w:r>
      <w:r>
        <w:rPr>
          <w:spacing w:val="-1"/>
        </w:rPr>
        <w:t> </w:t>
      </w:r>
      <w:r>
        <w:rPr/>
        <w:t>for the development</w:t>
      </w:r>
      <w:r>
        <w:rPr>
          <w:spacing w:val="-1"/>
        </w:rPr>
        <w:t> </w:t>
      </w:r>
      <w:r>
        <w:rPr/>
        <w:t>and partnered with RHLS’s client, Community</w:t>
      </w:r>
      <w:r>
        <w:rPr>
          <w:spacing w:val="-4"/>
        </w:rPr>
        <w:t> </w:t>
      </w:r>
      <w:r>
        <w:rPr/>
        <w:t>Ventures,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expertise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low-income housing and working with community groups.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The construction phase is estimated to take</w:t>
      </w:r>
      <w:r>
        <w:rPr>
          <w:spacing w:val="-1"/>
        </w:rPr>
        <w:t> </w:t>
      </w:r>
      <w:r>
        <w:rPr/>
        <w:t>about 14 months and once completed, the development will be located in the Old City neighbor- hood in Philadelphia at the corner of 4th and Race Streets. The project represents a unique opportunity to provide safe, stable, and deeply affordable homes in the city’s highest-income zip code, conveniently located</w:t>
      </w:r>
      <w:r>
        <w:rPr>
          <w:spacing w:val="-7"/>
        </w:rPr>
        <w:t> </w:t>
      </w:r>
      <w:r>
        <w:rPr/>
        <w:t>close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transportation,</w:t>
      </w:r>
      <w:r>
        <w:rPr>
          <w:spacing w:val="-6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services,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amenities.</w:t>
      </w:r>
      <w:r>
        <w:rPr>
          <w:spacing w:val="-7"/>
        </w:rPr>
        <w:t> </w:t>
      </w:r>
      <w:r>
        <w:rPr/>
        <w:t>This new housing development is an extension of the homeless outreach</w:t>
      </w: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Reformed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UCC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carrying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area since 1984.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5"/>
        <w:jc w:val="both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efficiency</w:t>
      </w:r>
      <w:r>
        <w:rPr>
          <w:spacing w:val="-4"/>
        </w:rPr>
        <w:t> </w:t>
      </w:r>
      <w:r>
        <w:rPr/>
        <w:t>apartments,</w:t>
      </w:r>
      <w:r>
        <w:rPr>
          <w:spacing w:val="-6"/>
        </w:rPr>
        <w:t> </w:t>
      </w:r>
      <w:r>
        <w:rPr/>
        <w:t>Old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House</w:t>
      </w:r>
      <w:r>
        <w:rPr>
          <w:spacing w:val="-5"/>
        </w:rPr>
        <w:t> </w:t>
      </w:r>
      <w:r>
        <w:rPr>
          <w:spacing w:val="-4"/>
        </w:rPr>
        <w:t>will</w:t>
      </w:r>
    </w:p>
    <w:p>
      <w:pPr>
        <w:pStyle w:val="BodyText"/>
        <w:spacing w:before="2"/>
        <w:ind w:left="115" w:right="293"/>
        <w:jc w:val="both"/>
      </w:pPr>
      <w:r>
        <w:rPr/>
        <w:t>include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room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kitchen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residents.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 ground level, the building includes commercial space and additional</w:t>
      </w:r>
    </w:p>
    <w:p>
      <w:pPr>
        <w:pStyle w:val="BodyText"/>
        <w:ind w:left="115" w:right="165"/>
        <w:jc w:val="both"/>
      </w:pPr>
      <w:r>
        <w:rPr/>
        <w:t>office</w:t>
      </w:r>
      <w:r>
        <w:rPr>
          <w:spacing w:val="-5"/>
        </w:rPr>
        <w:t> </w:t>
      </w:r>
      <w:r>
        <w:rPr/>
        <w:t>space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multipurpose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Church.</w:t>
      </w:r>
      <w:r>
        <w:rPr>
          <w:spacing w:val="-6"/>
        </w:rPr>
        <w:t> </w:t>
      </w:r>
      <w:r>
        <w:rPr/>
        <w:t>Depaul</w:t>
      </w:r>
      <w:r>
        <w:rPr>
          <w:spacing w:val="-5"/>
        </w:rPr>
        <w:t> </w:t>
      </w:r>
      <w:r>
        <w:rPr/>
        <w:t>USA,</w:t>
      </w:r>
      <w:r>
        <w:rPr>
          <w:spacing w:val="-5"/>
        </w:rPr>
        <w:t> </w:t>
      </w:r>
      <w:r>
        <w:rPr/>
        <w:t>oper- ating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supportive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offices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building,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 all supportive services which include case management, healthcare</w:t>
      </w:r>
    </w:p>
    <w:p>
      <w:pPr>
        <w:pStyle w:val="BodyText"/>
        <w:spacing w:before="55"/>
        <w:ind w:left="116" w:right="184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has</w:t>
      </w:r>
      <w:r>
        <w:rPr>
          <w:spacing w:val="-8"/>
        </w:rPr>
        <w:t> </w:t>
      </w:r>
      <w:r>
        <w:rPr/>
        <w:t>equity</w:t>
      </w:r>
      <w:r>
        <w:rPr>
          <w:spacing w:val="-4"/>
        </w:rPr>
        <w:t> </w:t>
      </w:r>
      <w:r>
        <w:rPr/>
        <w:t>financing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Equity</w:t>
      </w:r>
      <w:r>
        <w:rPr>
          <w:spacing w:val="-4"/>
        </w:rPr>
        <w:t> </w:t>
      </w:r>
      <w:r>
        <w:rPr/>
        <w:t>Fund,</w:t>
      </w:r>
      <w:r>
        <w:rPr>
          <w:spacing w:val="-4"/>
        </w:rPr>
        <w:t> </w:t>
      </w:r>
      <w:r>
        <w:rPr/>
        <w:t>as well as funding from the City of Philadelphia, the Federal Home Loan Bank of Pittsburgh’s Affordable Housing Program, TD Bank, and the</w:t>
      </w:r>
    </w:p>
    <w:p>
      <w:pPr>
        <w:pStyle w:val="BodyText"/>
        <w:spacing w:line="268" w:lineRule="exact"/>
        <w:ind w:left="116"/>
      </w:pPr>
      <w:r>
        <w:rPr/>
        <w:t>Pennsylvania</w:t>
      </w:r>
      <w:r>
        <w:rPr>
          <w:spacing w:val="-4"/>
        </w:rPr>
        <w:t> </w:t>
      </w:r>
      <w:r>
        <w:rPr/>
        <w:t>Housing</w:t>
      </w:r>
      <w:r>
        <w:rPr>
          <w:spacing w:val="-6"/>
        </w:rPr>
        <w:t> </w:t>
      </w:r>
      <w:r>
        <w:rPr/>
        <w:t>Finance</w:t>
      </w:r>
      <w:r>
        <w:rPr>
          <w:spacing w:val="-4"/>
        </w:rPr>
        <w:t> </w:t>
      </w:r>
      <w:r>
        <w:rPr/>
        <w:t>Agency’s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Cost</w:t>
      </w:r>
      <w:r>
        <w:rPr>
          <w:spacing w:val="-5"/>
        </w:rPr>
        <w:t> </w:t>
      </w:r>
      <w:r>
        <w:rPr>
          <w:spacing w:val="-2"/>
        </w:rPr>
        <w:t>Relief</w:t>
      </w:r>
    </w:p>
    <w:p>
      <w:pPr>
        <w:pStyle w:val="BodyText"/>
        <w:ind w:left="116" w:right="46"/>
      </w:pPr>
      <w:r>
        <w:rPr/>
        <w:t>Program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cover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gap</w:t>
      </w:r>
      <w:r>
        <w:rPr>
          <w:spacing w:val="-4"/>
        </w:rPr>
        <w:t> </w:t>
      </w:r>
      <w:r>
        <w:rPr/>
        <w:t>caused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rapidly</w:t>
      </w:r>
      <w:r>
        <w:rPr>
          <w:spacing w:val="-4"/>
        </w:rPr>
        <w:t> </w:t>
      </w:r>
      <w:r>
        <w:rPr/>
        <w:t>escalating</w:t>
      </w:r>
      <w:r>
        <w:rPr>
          <w:spacing w:val="-6"/>
        </w:rPr>
        <w:t> </w:t>
      </w:r>
      <w:r>
        <w:rPr/>
        <w:t>construc- tion costs.</w:t>
      </w:r>
    </w:p>
    <w:p>
      <w:pPr>
        <w:pStyle w:val="BodyText"/>
      </w:pPr>
    </w:p>
    <w:p>
      <w:pPr>
        <w:pStyle w:val="BodyText"/>
        <w:spacing w:before="1"/>
        <w:ind w:left="116" w:right="184"/>
      </w:pPr>
      <w:r>
        <w:rPr/>
        <w:t>All 34 units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covered by a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(HAP) contract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Philadelphia</w:t>
      </w:r>
      <w:r>
        <w:rPr>
          <w:spacing w:val="-3"/>
        </w:rPr>
        <w:t> </w:t>
      </w:r>
      <w:r>
        <w:rPr/>
        <w:t>Housing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Rental</w:t>
      </w:r>
    </w:p>
    <w:p>
      <w:pPr>
        <w:pStyle w:val="BodyText"/>
        <w:ind w:left="116" w:right="184"/>
      </w:pPr>
      <w:r>
        <w:rPr/>
        <w:t>Assistance</w:t>
      </w:r>
      <w:r>
        <w:rPr>
          <w:spacing w:val="-7"/>
        </w:rPr>
        <w:t> </w:t>
      </w:r>
      <w:r>
        <w:rPr/>
        <w:t>Demonstration</w:t>
      </w:r>
      <w:r>
        <w:rPr>
          <w:spacing w:val="-6"/>
        </w:rPr>
        <w:t> </w:t>
      </w:r>
      <w:r>
        <w:rPr/>
        <w:t>Project</w:t>
      </w:r>
      <w:r>
        <w:rPr>
          <w:spacing w:val="40"/>
        </w:rPr>
        <w:t> </w:t>
      </w:r>
      <w:r>
        <w:rPr/>
        <w:t>(RAD),</w:t>
      </w:r>
      <w:r>
        <w:rPr>
          <w:spacing w:val="-7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affordable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tenants at or below 20% of Area Median Income. The mostly vacant parcel</w:t>
      </w:r>
    </w:p>
    <w:p>
      <w:pPr>
        <w:pStyle w:val="BodyText"/>
        <w:ind w:left="116" w:right="184"/>
      </w:pPr>
      <w:r>
        <w:rPr/>
        <w:t>currently</w:t>
      </w:r>
      <w:r>
        <w:rPr>
          <w:spacing w:val="-4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two</w:t>
      </w:r>
      <w:r>
        <w:rPr>
          <w:spacing w:val="-6"/>
        </w:rPr>
        <w:t> </w:t>
      </w:r>
      <w:r>
        <w:rPr/>
        <w:t>rowhouse-type</w:t>
      </w:r>
      <w:r>
        <w:rPr>
          <w:spacing w:val="-4"/>
        </w:rPr>
        <w:t> </w:t>
      </w:r>
      <w:r>
        <w:rPr/>
        <w:t>buildings,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 the Philadelphia Register of Historic Places and will be moved approximately 48 feet to the south prior to the beginning of</w:t>
      </w:r>
    </w:p>
    <w:p>
      <w:pPr>
        <w:pStyle w:val="BodyText"/>
        <w:ind w:left="116" w:right="184"/>
      </w:pPr>
      <w:r>
        <w:rPr/>
        <w:t>construction;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demolished.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historic</w:t>
      </w:r>
      <w:r>
        <w:rPr>
          <w:spacing w:val="-4"/>
        </w:rPr>
        <w:t> </w:t>
      </w:r>
      <w:r>
        <w:rPr/>
        <w:t>building will be fully incorporated into the new construction and remain the</w:t>
      </w:r>
    </w:p>
    <w:p>
      <w:pPr>
        <w:pStyle w:val="BodyText"/>
        <w:spacing w:line="267" w:lineRule="exact"/>
        <w:ind w:left="116"/>
      </w:pPr>
      <w:r>
        <w:rPr/>
        <w:t>home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2"/>
        </w:rPr>
        <w:t>space.</w:t>
      </w:r>
    </w:p>
    <w:p>
      <w:pPr>
        <w:pStyle w:val="BodyText"/>
        <w:spacing w:before="1"/>
      </w:pPr>
    </w:p>
    <w:p>
      <w:pPr>
        <w:pStyle w:val="BodyText"/>
        <w:ind w:left="116" w:right="184"/>
      </w:pPr>
      <w:r>
        <w:rPr/>
        <w:t>Laura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Justin</w:t>
      </w:r>
      <w:r>
        <w:rPr>
          <w:spacing w:val="-7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comprehensive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Community Ventures in support of the project, including project planning and predevelopment, entity formation, negotiation of equity and loan</w:t>
      </w:r>
    </w:p>
    <w:p>
      <w:pPr>
        <w:pStyle w:val="BodyText"/>
        <w:spacing w:before="1"/>
        <w:ind w:left="116" w:right="301"/>
      </w:pPr>
      <w:r>
        <w:rPr/>
        <w:t>documents,</w:t>
      </w:r>
      <w:r>
        <w:rPr>
          <w:spacing w:val="-9"/>
        </w:rPr>
        <w:t> </w:t>
      </w:r>
      <w:r>
        <w:rPr/>
        <w:t>site</w:t>
      </w:r>
      <w:r>
        <w:rPr>
          <w:spacing w:val="-8"/>
        </w:rPr>
        <w:t> </w:t>
      </w:r>
      <w:r>
        <w:rPr/>
        <w:t>acquisition,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documents,</w:t>
      </w:r>
      <w:r>
        <w:rPr>
          <w:spacing w:val="-9"/>
        </w:rPr>
        <w:t> </w:t>
      </w:r>
      <w:r>
        <w:rPr/>
        <w:t>and representation through financial closing.</w:t>
      </w:r>
    </w:p>
    <w:p>
      <w:pPr>
        <w:pStyle w:val="BodyText"/>
      </w:pPr>
    </w:p>
    <w:p>
      <w:pPr>
        <w:pStyle w:val="BodyText"/>
        <w:ind w:left="116" w:right="18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5438775</wp:posOffset>
            </wp:positionH>
            <wp:positionV relativeFrom="paragraph">
              <wp:posOffset>570428</wp:posOffset>
            </wp:positionV>
            <wp:extent cx="4178300" cy="156616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5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Community</w:t>
      </w:r>
      <w:r>
        <w:rPr>
          <w:spacing w:val="-4"/>
        </w:rPr>
        <w:t> </w:t>
      </w:r>
      <w:r>
        <w:rPr/>
        <w:t>Ventures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Church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groundbreaking</w:t>
      </w:r>
      <w:r>
        <w:rPr>
          <w:spacing w:val="-4"/>
        </w:rPr>
        <w:t> </w:t>
      </w:r>
      <w:r>
        <w:rPr/>
        <w:t>and moving ceremony for the project for mid to end of August, where attendees will be able to watch the historic building move on the site.</w:t>
      </w:r>
    </w:p>
    <w:sectPr>
      <w:type w:val="continuous"/>
      <w:pgSz w:w="15840" w:h="12240" w:orient="landscape"/>
      <w:pgMar w:top="520" w:bottom="280" w:left="720" w:right="580"/>
      <w:cols w:num="2" w:equalWidth="0">
        <w:col w:w="6619" w:space="1064"/>
        <w:col w:w="68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2" w:lineRule="exact"/>
      <w:ind w:left="1462" w:right="1421"/>
      <w:jc w:val="center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2023-09-08T13:06:25Z</dcterms:created>
  <dcterms:modified xsi:type="dcterms:W3CDTF">2023-09-08T13:06:25Z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Publisher for Microsoft 365</vt:lpwstr>
  </property>
</Properties>
</file>